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F9C0" w14:textId="38CCAC2C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Ao</w:t>
      </w:r>
      <w:r w:rsidR="007B5CCA">
        <w:rPr>
          <w:rFonts w:ascii="Arial" w:hAnsi="Arial" w:cs="Arial"/>
          <w:b/>
          <w:bCs/>
          <w:sz w:val="21"/>
          <w:szCs w:val="21"/>
        </w:rPr>
        <w:t>s</w:t>
      </w:r>
      <w:r w:rsidRPr="00F800A8">
        <w:rPr>
          <w:rFonts w:ascii="Arial" w:hAnsi="Arial" w:cs="Arial"/>
          <w:b/>
          <w:bCs/>
          <w:sz w:val="21"/>
          <w:szCs w:val="21"/>
        </w:rPr>
        <w:t xml:space="preserve"> candidato</w:t>
      </w:r>
      <w:r w:rsidR="007B5CCA">
        <w:rPr>
          <w:rFonts w:ascii="Arial" w:hAnsi="Arial" w:cs="Arial"/>
          <w:b/>
          <w:bCs/>
          <w:sz w:val="21"/>
          <w:szCs w:val="21"/>
        </w:rPr>
        <w:t>s</w:t>
      </w:r>
      <w:r w:rsidRPr="00F800A8">
        <w:rPr>
          <w:rFonts w:ascii="Arial" w:hAnsi="Arial" w:cs="Arial"/>
          <w:b/>
          <w:bCs/>
          <w:sz w:val="21"/>
          <w:szCs w:val="21"/>
        </w:rPr>
        <w:t xml:space="preserve"> a </w:t>
      </w:r>
      <w:r w:rsidR="007B5CCA">
        <w:rPr>
          <w:rFonts w:ascii="Arial" w:hAnsi="Arial" w:cs="Arial"/>
          <w:b/>
          <w:bCs/>
          <w:sz w:val="21"/>
          <w:szCs w:val="21"/>
        </w:rPr>
        <w:t>go</w:t>
      </w:r>
      <w:r w:rsidRPr="00F800A8">
        <w:rPr>
          <w:rFonts w:ascii="Arial" w:hAnsi="Arial" w:cs="Arial"/>
          <w:b/>
          <w:bCs/>
          <w:sz w:val="21"/>
          <w:szCs w:val="21"/>
        </w:rPr>
        <w:t>vern</w:t>
      </w:r>
      <w:r w:rsidR="007B5CCA">
        <w:rPr>
          <w:rFonts w:ascii="Arial" w:hAnsi="Arial" w:cs="Arial"/>
          <w:b/>
          <w:bCs/>
          <w:sz w:val="21"/>
          <w:szCs w:val="21"/>
        </w:rPr>
        <w:t>ador</w:t>
      </w:r>
      <w:r w:rsidRPr="00F800A8">
        <w:rPr>
          <w:rFonts w:ascii="Arial" w:hAnsi="Arial" w:cs="Arial"/>
          <w:b/>
          <w:bCs/>
          <w:sz w:val="21"/>
          <w:szCs w:val="21"/>
        </w:rPr>
        <w:t xml:space="preserve"> do Estado do Espírito Santo</w:t>
      </w:r>
      <w:r w:rsidR="007B5CCA">
        <w:rPr>
          <w:rFonts w:ascii="Arial" w:hAnsi="Arial" w:cs="Arial"/>
          <w:b/>
          <w:bCs/>
          <w:sz w:val="21"/>
          <w:szCs w:val="21"/>
        </w:rPr>
        <w:t xml:space="preserve">, </w:t>
      </w:r>
      <w:r w:rsidRPr="00F800A8">
        <w:rPr>
          <w:rFonts w:ascii="Arial" w:hAnsi="Arial" w:cs="Arial"/>
          <w:b/>
          <w:bCs/>
          <w:sz w:val="21"/>
          <w:szCs w:val="21"/>
        </w:rPr>
        <w:t>e aos demais candidatos e candidatas ao Legislativo Estadual e Federal</w:t>
      </w:r>
    </w:p>
    <w:p w14:paraId="58870ED2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As entidades representativas dos trabalhadores e trabalhadoras, os movimentos sociais e as organizações comprometidas com a defesa da água, do saneamento público e do meio ambiente apresentam esta Carta de Compromissos, reafirmando que o acesso à água potável, ao esgotamento sanitário e ao meio ambiente ecologicamente equilibrado constitui direito fundamental da população e dever permanente do poder público.</w:t>
      </w:r>
    </w:p>
    <w:p w14:paraId="5050607C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Diante das ameaças de privatização, dos desafios para a universalização do saneamento, do agravamento da emergência climática e da obrigação de reparar integralmente os danos provocados pelo crime socioambiental de Mariana, propomos que os compromissos abaixo sejam assumidos publicamente e incorporados aos programas e mandatos dos candidatos e candidatas. Ao subscrever esta Carta, cada signatário compromete-se, no âmbito de suas competências e atribuições, a:</w:t>
      </w:r>
    </w:p>
    <w:p w14:paraId="369258DA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1. DEFENDER A CESAN PÚBLICA</w:t>
      </w:r>
    </w:p>
    <w:p w14:paraId="27677AF0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Manter a Companhia Espírito-Santense de Saneamento — Cesan sob controle público estadual, posicionando-se contra sua privatização, concessão integral, abertura de capital, alienação de ações, transferência de controle ou qualquer outra medida que reduza seu caráter público e sua função social.</w:t>
      </w:r>
    </w:p>
    <w:p w14:paraId="47E41790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 xml:space="preserve">2. FORTALECER OS </w:t>
      </w:r>
      <w:proofErr w:type="spellStart"/>
      <w:r w:rsidRPr="00F800A8">
        <w:rPr>
          <w:rFonts w:ascii="Arial" w:hAnsi="Arial" w:cs="Arial"/>
          <w:b/>
          <w:bCs/>
          <w:sz w:val="21"/>
          <w:szCs w:val="21"/>
        </w:rPr>
        <w:t>SAAEs</w:t>
      </w:r>
      <w:proofErr w:type="spellEnd"/>
      <w:r w:rsidRPr="00F800A8">
        <w:rPr>
          <w:rFonts w:ascii="Arial" w:hAnsi="Arial" w:cs="Arial"/>
          <w:b/>
          <w:bCs/>
          <w:sz w:val="21"/>
          <w:szCs w:val="21"/>
        </w:rPr>
        <w:t xml:space="preserve"> E A PRESTAÇÃO PÚBLICA MUNICIPAL</w:t>
      </w:r>
    </w:p>
    <w:p w14:paraId="1468C901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 xml:space="preserve">Defender os Serviços Autônomos de Água e Esgoto — </w:t>
      </w:r>
      <w:proofErr w:type="spellStart"/>
      <w:r w:rsidRPr="00F800A8">
        <w:rPr>
          <w:rFonts w:ascii="Arial" w:hAnsi="Arial" w:cs="Arial"/>
          <w:sz w:val="21"/>
          <w:szCs w:val="21"/>
        </w:rPr>
        <w:t>SAAEs</w:t>
      </w:r>
      <w:proofErr w:type="spellEnd"/>
      <w:r w:rsidRPr="00F800A8">
        <w:rPr>
          <w:rFonts w:ascii="Arial" w:hAnsi="Arial" w:cs="Arial"/>
          <w:sz w:val="21"/>
          <w:szCs w:val="21"/>
        </w:rPr>
        <w:t xml:space="preserve">, não apoiando, induzindo ou financiando sua privatização. Garantir assistência técnica, institucional e financeira aos municípios, fortalecendo a gestão pública municipal e a cooperação entre o Estado, a Cesan, os </w:t>
      </w:r>
      <w:proofErr w:type="spellStart"/>
      <w:r w:rsidRPr="00F800A8">
        <w:rPr>
          <w:rFonts w:ascii="Arial" w:hAnsi="Arial" w:cs="Arial"/>
          <w:sz w:val="21"/>
          <w:szCs w:val="21"/>
        </w:rPr>
        <w:t>SAAEs</w:t>
      </w:r>
      <w:proofErr w:type="spellEnd"/>
      <w:r w:rsidRPr="00F800A8">
        <w:rPr>
          <w:rFonts w:ascii="Arial" w:hAnsi="Arial" w:cs="Arial"/>
          <w:sz w:val="21"/>
          <w:szCs w:val="21"/>
        </w:rPr>
        <w:t>, os consórcios públicos e as administrações municipais.</w:t>
      </w:r>
    </w:p>
    <w:p w14:paraId="12F3EF1A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3. REVISAR O PROGRAMA UNIVERSALIZA ES</w:t>
      </w:r>
    </w:p>
    <w:p w14:paraId="332873B7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 xml:space="preserve">Revisar o Programa Universaliza ES para que a prestação direta dos serviços públicos, a cooperação interfederativa e as parcerias entre entes e empresas públicas sejam consideradas alternativas prioritárias para a universalização. A expansão do saneamento deverá fortalecer a Cesan e os </w:t>
      </w:r>
      <w:proofErr w:type="spellStart"/>
      <w:r w:rsidRPr="00F800A8">
        <w:rPr>
          <w:rFonts w:ascii="Arial" w:hAnsi="Arial" w:cs="Arial"/>
          <w:sz w:val="21"/>
          <w:szCs w:val="21"/>
        </w:rPr>
        <w:t>SAAEs</w:t>
      </w:r>
      <w:proofErr w:type="spellEnd"/>
      <w:r w:rsidRPr="00F800A8">
        <w:rPr>
          <w:rFonts w:ascii="Arial" w:hAnsi="Arial" w:cs="Arial"/>
          <w:sz w:val="21"/>
          <w:szCs w:val="21"/>
        </w:rPr>
        <w:t>, assegurar a autonomia municipal e impedir que concessões privadas sejam apresentadas como solução única para os municípios capixabas.</w:t>
      </w:r>
    </w:p>
    <w:p w14:paraId="31EC00F5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4. INSTITUIR UM PLANO ESTADUAL DE INVESTIMENTOS PÚBLICOS EM SANEAMENTO</w:t>
      </w:r>
    </w:p>
    <w:p w14:paraId="45ED89CD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 xml:space="preserve">Elaborar e executar um Plano Estadual de Investimentos Públicos em Saneamento, articulado com a Cesan, os </w:t>
      </w:r>
      <w:proofErr w:type="spellStart"/>
      <w:r w:rsidRPr="00F800A8">
        <w:rPr>
          <w:rFonts w:ascii="Arial" w:hAnsi="Arial" w:cs="Arial"/>
          <w:sz w:val="21"/>
          <w:szCs w:val="21"/>
        </w:rPr>
        <w:t>SAAEs</w:t>
      </w:r>
      <w:proofErr w:type="spellEnd"/>
      <w:r w:rsidRPr="00F800A8">
        <w:rPr>
          <w:rFonts w:ascii="Arial" w:hAnsi="Arial" w:cs="Arial"/>
          <w:sz w:val="21"/>
          <w:szCs w:val="21"/>
        </w:rPr>
        <w:t xml:space="preserve"> e os municípios, contemplando abastecimento de água, esgotamento sanitário, drenagem e manejo das águas pluviais, resíduos sólidos, redução de perdas, segurança hídrica e recuperação das infraestruturas públicas. O Plano deverá definir metas, fontes de financiamento, responsabilidades e mecanismos permanentes de acompanhamento social.</w:t>
      </w:r>
    </w:p>
    <w:p w14:paraId="44CC4C4C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lastRenderedPageBreak/>
        <w:t>5. PRIORIZAR O SANEAMENTO RURAL E OS POVOS E COMUNIDADES TRADICIONAIS</w:t>
      </w:r>
    </w:p>
    <w:p w14:paraId="6C97DCBE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Priorizar investimentos públicos em saneamento rural e no atendimento aos povos indígenas, comunidades quilombolas, ribeirinhas, pesqueiras, extrativistas, assentamentos da reforma agrária e demais povos e comunidades tradicionais. As políticas deverão assegurar água potável, esgotamento sanitário, manejo adequado de resíduos e soluções de drenagem, respeitando os modos de vida, os conhecimentos tradicionais e as características de cada território, mediante consulta e participação efetiva das comunidades.</w:t>
      </w:r>
    </w:p>
    <w:p w14:paraId="18FC5CC3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6. GARANTIR JUSTIÇA TARIFÁRIA E O DIREITO HUMANO À ÁGUA</w:t>
      </w:r>
    </w:p>
    <w:p w14:paraId="247F6282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 xml:space="preserve">Ampliar a tarifa social de água e esgoto, garantindo sua aplicação automática às famílias inscritas no </w:t>
      </w:r>
      <w:proofErr w:type="spellStart"/>
      <w:r w:rsidRPr="00F800A8">
        <w:rPr>
          <w:rFonts w:ascii="Arial" w:hAnsi="Arial" w:cs="Arial"/>
          <w:sz w:val="21"/>
          <w:szCs w:val="21"/>
        </w:rPr>
        <w:t>CadÚnico</w:t>
      </w:r>
      <w:proofErr w:type="spellEnd"/>
      <w:r w:rsidRPr="00F800A8">
        <w:rPr>
          <w:rFonts w:ascii="Arial" w:hAnsi="Arial" w:cs="Arial"/>
          <w:sz w:val="21"/>
          <w:szCs w:val="21"/>
        </w:rPr>
        <w:t xml:space="preserve"> e a outros grupos socialmente vulneráveis. Combater cortes decorrentes da incapacidade econômica de pagamento e defender a implantação do mínimo vital de água, assegurando gratuitamente o volume indispensável à vida, à saúde, à alimentação, à higiene e à dignidade humana.</w:t>
      </w:r>
    </w:p>
    <w:p w14:paraId="45F2DB82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7. VALORIZAR OS TRABALHADORES DO SANEAMENTO E DO MEIO AMBIENTE</w:t>
      </w:r>
    </w:p>
    <w:p w14:paraId="10DBF29B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 xml:space="preserve">Valorizar os trabalhadores e trabalhadoras da Cesan, dos </w:t>
      </w:r>
      <w:proofErr w:type="spellStart"/>
      <w:r w:rsidRPr="00F800A8">
        <w:rPr>
          <w:rFonts w:ascii="Arial" w:hAnsi="Arial" w:cs="Arial"/>
          <w:sz w:val="21"/>
          <w:szCs w:val="21"/>
        </w:rPr>
        <w:t>SAAEs</w:t>
      </w:r>
      <w:proofErr w:type="spellEnd"/>
      <w:r w:rsidRPr="00F800A8">
        <w:rPr>
          <w:rFonts w:ascii="Arial" w:hAnsi="Arial" w:cs="Arial"/>
          <w:sz w:val="21"/>
          <w:szCs w:val="21"/>
        </w:rPr>
        <w:t>, do IEMA e dos demais órgãos e serviços públicos relacionados ao saneamento, meio ambiente, recursos hídricos e defesa civil. Garantir negociação coletiva, recomposição remuneratória, planos de cargos e salários, formação profissional, liberdade sindical, respeito às organizações representativas e condições dignas, saudáveis e seguras de trabalho.</w:t>
      </w:r>
    </w:p>
    <w:p w14:paraId="60F6D8C2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8. COMBATER A PRECARIZAÇÃO E A TERCEIRIZAÇÃO DAS ATIVIDADES ESSENCIAIS</w:t>
      </w:r>
    </w:p>
    <w:p w14:paraId="78E66A02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Combater a precarização das relações de trabalho e a terceirização das atividades finalísticas, permanentes, técnicas e essenciais. Priorizar a realização de concursos públicos e a recomposição dos quadros próprios da Cesan, do IEMA e dos demais órgãos estaduais, garantindo capacidade operacional, continuidade dos serviços, memória técnica, fiscalização adequada e segurança para trabalhadores e usuários.</w:t>
      </w:r>
    </w:p>
    <w:p w14:paraId="0E67D1C2" w14:textId="574F7CE1" w:rsidR="00C36D4E" w:rsidRDefault="00C36D4E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9. </w:t>
      </w:r>
      <w:r w:rsidRPr="00C36D4E">
        <w:rPr>
          <w:rFonts w:ascii="Arial" w:hAnsi="Arial" w:cs="Arial"/>
          <w:b/>
          <w:bCs/>
          <w:sz w:val="21"/>
          <w:szCs w:val="21"/>
        </w:rPr>
        <w:t>GESTÃO PÚBLICA DIRETA E FORTALECIMENTO DAS UNIDADES DE CONSERVAÇÃO</w:t>
      </w:r>
      <w:r w:rsidRPr="00C36D4E">
        <w:rPr>
          <w:rFonts w:ascii="Arial" w:hAnsi="Arial" w:cs="Arial"/>
          <w:b/>
          <w:bCs/>
          <w:sz w:val="21"/>
          <w:szCs w:val="21"/>
        </w:rPr>
        <w:br/>
      </w:r>
      <w:r w:rsidRPr="00C36D4E">
        <w:rPr>
          <w:rFonts w:ascii="Arial" w:hAnsi="Arial" w:cs="Arial"/>
          <w:sz w:val="21"/>
          <w:szCs w:val="21"/>
        </w:rPr>
        <w:t>Garantir a soberania do Estado sobre o patrimônio ambiental, assegurando a gestão, fiscalização e responsabilidade direta do poder público sobre todas as Unidades de Conservação estaduais. A proposta veda a privatização, a concessão ou a transferência dessas áreas à exploração econômica privada. O foco central é a garantia de orçamento público permanente, a valorização dos servidores da área ambiental e a participação ativa das comunidades locais. Assegura-se, assim, o acesso democrático da população, o fomento à pesquisa científica, a educação ambiental e a proteção integral da biodiversidade.</w:t>
      </w:r>
    </w:p>
    <w:p w14:paraId="654A547D" w14:textId="77777777" w:rsidR="000B2BFF" w:rsidRDefault="000B2BFF">
      <w:p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 w:type="page"/>
      </w:r>
    </w:p>
    <w:p w14:paraId="267D0856" w14:textId="1748F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lastRenderedPageBreak/>
        <w:t>10. FORTALECER INSTITUCIONALMENTE O IEMA</w:t>
      </w:r>
    </w:p>
    <w:p w14:paraId="25B58FA7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Fortalecer o Instituto Estadual de Meio Ambiente e Recursos Hídricos — IEMA, assegurando autonomia técnica, orçamento adequado, estrutura descentralizada, equipamentos, laboratórios, sistemas de monitoramento e realização periódica de concursos públicos. Garantir que o licenciamento e a fiscalização ambiental sejam conduzidos com independência, transparência, participação social e rigor técnico, sem flexibilizações que comprometam a proteção ambiental.</w:t>
      </w:r>
    </w:p>
    <w:p w14:paraId="4154CD4A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11. DESTINAR OS RECURSOS DA REPACTUAÇÃO DO RIO DOCE AO FORTALECIMENTO PÚBLICO</w:t>
      </w:r>
    </w:p>
    <w:p w14:paraId="6D545EA1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Priorizar, respeitadas as vinculações legais e as determinações do acordo de repactuação, a aplicação dos recursos relacionados ao crime de Mariana na recuperação ambiental, nos serviços públicos, nos órgãos ambientais, nas empresas públicas e nas estruturas públicas de saneamento, especialmente nos territórios atingidos. Não utilizar esses recursos para financiar privatizações ou concessões, assegurando execução prioritariamente pública, transparência integral, controle social e ampla divulgação dos projetos, contratos, cronogramas e beneficiários.</w:t>
      </w:r>
    </w:p>
    <w:p w14:paraId="58BF4305" w14:textId="457D7DA5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 xml:space="preserve">12. INVESTIR EM </w:t>
      </w:r>
      <w:r w:rsidR="00435163">
        <w:rPr>
          <w:rFonts w:ascii="Arial" w:hAnsi="Arial" w:cs="Arial"/>
          <w:b/>
          <w:bCs/>
          <w:sz w:val="21"/>
          <w:szCs w:val="21"/>
        </w:rPr>
        <w:t xml:space="preserve">AÇÕES QUE PROMOVAM </w:t>
      </w:r>
      <w:r w:rsidRPr="00F800A8">
        <w:rPr>
          <w:rFonts w:ascii="Arial" w:hAnsi="Arial" w:cs="Arial"/>
          <w:b/>
          <w:bCs/>
          <w:sz w:val="21"/>
          <w:szCs w:val="21"/>
        </w:rPr>
        <w:t>JUSTIÇA CLIMÁTICA E PREVENÇÃO DE EVENTOS EXTREMOS</w:t>
      </w:r>
    </w:p>
    <w:p w14:paraId="3C7AEC76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Ampliar os investimentos públicos em prevenção, adaptação e resposta aos eventos climáticos extremos, priorizando populações vulneráveis, territórios periféricos, comunidades tradicionais e áreas de maior risco socioambiental. Integrar saneamento, drenagem urbana, contenção de encostas, recuperação de rios, nascentes, manguezais e matas ciliares, sistemas de alerta, defesa civil, moradia e planejamento territorial, assegurando que os custos da crise climática não sejam transferidos aos trabalhadores e às comunidades mais pobres.</w:t>
      </w:r>
    </w:p>
    <w:p w14:paraId="52CE35F2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>13. DEFENDER A REVISÃO DA LEI FEDERAL Nº 14.026/2020 E O CONTROLE SOCIAL</w:t>
      </w:r>
    </w:p>
    <w:p w14:paraId="4BF85EE7" w14:textId="77777777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  <w:r w:rsidRPr="00F800A8">
        <w:rPr>
          <w:rFonts w:ascii="Arial" w:hAnsi="Arial" w:cs="Arial"/>
          <w:sz w:val="21"/>
          <w:szCs w:val="21"/>
        </w:rPr>
        <w:t>Atuar junto ao Governo Federal, ao Congresso Nacional, aos governos estaduais, aos municípios e às entidades representativas para revisar a Lei Federal nº 14.026/2020, restabelecendo a possibilidade de celebração de contratos de programa entre entes públicos, empresas estaduais, autarquias e consórcios públicos. Defender a autonomia municipal, a cooperação federativa e o subsídio cruzado entre municípios, regiões e faixas de renda, garantindo que localidades mais pobres, rurais ou menos populosas também sejam atendidas. Instituir mecanismos permanentes de participação e controle social, com representação dos trabalhadores, atingidos, movimentos populares, comunidades tradicionais, universidades e conselhos públicos, incluindo a apresentação anual de relatório sobre o cumprimento desta Carta.</w:t>
      </w:r>
    </w:p>
    <w:p w14:paraId="125DA388" w14:textId="650FE70F" w:rsidR="00F800A8" w:rsidRPr="00F800A8" w:rsidRDefault="00F800A8" w:rsidP="000B2BFF">
      <w:pPr>
        <w:jc w:val="right"/>
        <w:rPr>
          <w:rFonts w:ascii="Arial" w:hAnsi="Arial" w:cs="Arial"/>
          <w:b/>
          <w:bCs/>
          <w:sz w:val="21"/>
          <w:szCs w:val="21"/>
        </w:rPr>
      </w:pPr>
      <w:r w:rsidRPr="00F800A8">
        <w:rPr>
          <w:rFonts w:ascii="Arial" w:hAnsi="Arial" w:cs="Arial"/>
          <w:b/>
          <w:bCs/>
          <w:sz w:val="21"/>
          <w:szCs w:val="21"/>
        </w:rPr>
        <w:t xml:space="preserve">Vitória, </w:t>
      </w:r>
      <w:r w:rsidR="007B5CCA">
        <w:rPr>
          <w:rFonts w:ascii="Arial" w:hAnsi="Arial" w:cs="Arial"/>
          <w:b/>
          <w:bCs/>
          <w:sz w:val="21"/>
          <w:szCs w:val="21"/>
        </w:rPr>
        <w:t>19</w:t>
      </w:r>
      <w:r w:rsidRPr="00F800A8">
        <w:rPr>
          <w:rFonts w:ascii="Arial" w:hAnsi="Arial" w:cs="Arial"/>
          <w:b/>
          <w:bCs/>
          <w:sz w:val="21"/>
          <w:szCs w:val="21"/>
        </w:rPr>
        <w:t xml:space="preserve"> de agosto de 2026.</w:t>
      </w:r>
    </w:p>
    <w:p w14:paraId="1EF7EF8D" w14:textId="77777777" w:rsid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</w:p>
    <w:p w14:paraId="6A5D1461" w14:textId="6E9C8481" w:rsidR="007B5CCA" w:rsidRDefault="000B2BFF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lastRenderedPageBreak/>
        <w:t>C</w:t>
      </w:r>
      <w:r w:rsidRPr="00F800A8">
        <w:rPr>
          <w:rFonts w:ascii="Arial" w:hAnsi="Arial" w:cs="Arial"/>
          <w:b/>
          <w:bCs/>
          <w:sz w:val="21"/>
          <w:szCs w:val="21"/>
        </w:rPr>
        <w:t>andidato</w:t>
      </w:r>
      <w:r>
        <w:rPr>
          <w:rFonts w:ascii="Arial" w:hAnsi="Arial" w:cs="Arial"/>
          <w:b/>
          <w:bCs/>
          <w:sz w:val="21"/>
          <w:szCs w:val="21"/>
        </w:rPr>
        <w:t>s</w:t>
      </w:r>
      <w:r w:rsidRPr="00F800A8">
        <w:rPr>
          <w:rFonts w:ascii="Arial" w:hAnsi="Arial" w:cs="Arial"/>
          <w:b/>
          <w:bCs/>
          <w:sz w:val="21"/>
          <w:szCs w:val="21"/>
        </w:rPr>
        <w:t xml:space="preserve"> a </w:t>
      </w:r>
      <w:r>
        <w:rPr>
          <w:rFonts w:ascii="Arial" w:hAnsi="Arial" w:cs="Arial"/>
          <w:b/>
          <w:bCs/>
          <w:sz w:val="21"/>
          <w:szCs w:val="21"/>
        </w:rPr>
        <w:t>go</w:t>
      </w:r>
      <w:r w:rsidRPr="00F800A8">
        <w:rPr>
          <w:rFonts w:ascii="Arial" w:hAnsi="Arial" w:cs="Arial"/>
          <w:b/>
          <w:bCs/>
          <w:sz w:val="21"/>
          <w:szCs w:val="21"/>
        </w:rPr>
        <w:t>vern</w:t>
      </w:r>
      <w:r>
        <w:rPr>
          <w:rFonts w:ascii="Arial" w:hAnsi="Arial" w:cs="Arial"/>
          <w:b/>
          <w:bCs/>
          <w:sz w:val="21"/>
          <w:szCs w:val="21"/>
        </w:rPr>
        <w:t>ador</w:t>
      </w:r>
      <w:r w:rsidRPr="00F800A8">
        <w:rPr>
          <w:rFonts w:ascii="Arial" w:hAnsi="Arial" w:cs="Arial"/>
          <w:b/>
          <w:bCs/>
          <w:sz w:val="21"/>
          <w:szCs w:val="21"/>
        </w:rPr>
        <w:t xml:space="preserve"> do Estado do Espírito Santo</w:t>
      </w:r>
    </w:p>
    <w:p w14:paraId="233734C6" w14:textId="77777777" w:rsidR="000B2BFF" w:rsidRDefault="000B2BFF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74E1ED7" w14:textId="77777777" w:rsidR="000B2BFF" w:rsidRDefault="000B2BFF" w:rsidP="007B5CCA">
      <w:pPr>
        <w:jc w:val="both"/>
        <w:rPr>
          <w:rFonts w:ascii="Arial" w:hAnsi="Arial" w:cs="Arial"/>
          <w:sz w:val="21"/>
          <w:szCs w:val="21"/>
        </w:rPr>
      </w:pPr>
    </w:p>
    <w:p w14:paraId="3A35AA0E" w14:textId="0FE3C07B" w:rsidR="00F800A8" w:rsidRP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7B5CCA">
        <w:rPr>
          <w:rFonts w:ascii="Arial" w:hAnsi="Arial" w:cs="Arial"/>
          <w:b/>
          <w:bCs/>
          <w:sz w:val="21"/>
          <w:szCs w:val="21"/>
        </w:rPr>
        <w:t>Breno Barcelos (</w:t>
      </w:r>
      <w:r w:rsidRPr="007B5CCA">
        <w:rPr>
          <w:rFonts w:ascii="Arial" w:hAnsi="Arial" w:cs="Arial"/>
          <w:b/>
          <w:bCs/>
          <w:sz w:val="21"/>
          <w:szCs w:val="21"/>
        </w:rPr>
        <w:t>MISSÃO</w:t>
      </w:r>
      <w:r w:rsidRPr="007B5CCA">
        <w:rPr>
          <w:rFonts w:ascii="Arial" w:hAnsi="Arial" w:cs="Arial"/>
          <w:b/>
          <w:bCs/>
          <w:sz w:val="21"/>
          <w:szCs w:val="21"/>
        </w:rPr>
        <w:t>)</w:t>
      </w:r>
      <w:r w:rsidRPr="007B5CCA">
        <w:rPr>
          <w:rFonts w:ascii="Arial" w:hAnsi="Arial" w:cs="Arial"/>
          <w:b/>
          <w:bCs/>
          <w:sz w:val="21"/>
          <w:szCs w:val="21"/>
        </w:rPr>
        <w:tab/>
      </w:r>
      <w:r w:rsidRPr="007B5CCA"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/>
          <w:bCs/>
          <w:sz w:val="21"/>
          <w:szCs w:val="21"/>
        </w:rPr>
        <w:tab/>
      </w:r>
      <w:r w:rsidRPr="007B5CCA">
        <w:rPr>
          <w:rFonts w:ascii="Arial" w:hAnsi="Arial" w:cs="Arial"/>
          <w:b/>
          <w:bCs/>
          <w:sz w:val="21"/>
          <w:szCs w:val="21"/>
        </w:rPr>
        <w:tab/>
      </w:r>
      <w:r w:rsidRPr="007B5CCA">
        <w:rPr>
          <w:rFonts w:ascii="Arial" w:hAnsi="Arial" w:cs="Arial"/>
          <w:b/>
          <w:bCs/>
          <w:sz w:val="21"/>
          <w:szCs w:val="21"/>
        </w:rPr>
        <w:t>Helder Salomão (PT)</w:t>
      </w:r>
    </w:p>
    <w:p w14:paraId="71E919FC" w14:textId="77777777" w:rsid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44E5F431" w14:textId="77777777" w:rsidR="007B5CCA" w:rsidRP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086BDC77" w14:textId="084D4967" w:rsidR="007B5CCA" w:rsidRP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7B5CCA">
        <w:rPr>
          <w:rFonts w:ascii="Arial" w:hAnsi="Arial" w:cs="Arial"/>
          <w:b/>
          <w:bCs/>
          <w:sz w:val="21"/>
          <w:szCs w:val="21"/>
        </w:rPr>
        <w:t xml:space="preserve">Lorenzo </w:t>
      </w:r>
      <w:proofErr w:type="spellStart"/>
      <w:r w:rsidRPr="007B5CCA">
        <w:rPr>
          <w:rFonts w:ascii="Arial" w:hAnsi="Arial" w:cs="Arial"/>
          <w:b/>
          <w:bCs/>
          <w:sz w:val="21"/>
          <w:szCs w:val="21"/>
        </w:rPr>
        <w:t>Pazolini</w:t>
      </w:r>
      <w:proofErr w:type="spellEnd"/>
      <w:r w:rsidRPr="007B5CCA">
        <w:rPr>
          <w:rFonts w:ascii="Arial" w:hAnsi="Arial" w:cs="Arial"/>
          <w:b/>
          <w:bCs/>
          <w:sz w:val="21"/>
          <w:szCs w:val="21"/>
        </w:rPr>
        <w:t xml:space="preserve"> (</w:t>
      </w:r>
      <w:r w:rsidRPr="007B5CCA">
        <w:rPr>
          <w:rFonts w:ascii="Arial" w:hAnsi="Arial" w:cs="Arial"/>
          <w:b/>
          <w:bCs/>
          <w:sz w:val="21"/>
          <w:szCs w:val="21"/>
        </w:rPr>
        <w:t>REPUBLICANOS</w:t>
      </w:r>
      <w:r w:rsidRPr="007B5CCA">
        <w:rPr>
          <w:rFonts w:ascii="Arial" w:hAnsi="Arial" w:cs="Arial"/>
          <w:b/>
          <w:bCs/>
          <w:sz w:val="21"/>
          <w:szCs w:val="21"/>
        </w:rPr>
        <w:t>)</w:t>
      </w:r>
      <w:r w:rsidRPr="007B5CCA">
        <w:rPr>
          <w:rFonts w:ascii="Arial" w:hAnsi="Arial" w:cs="Arial"/>
          <w:b/>
          <w:bCs/>
          <w:sz w:val="21"/>
          <w:szCs w:val="21"/>
        </w:rPr>
        <w:tab/>
      </w:r>
      <w:r w:rsidRPr="007B5CCA">
        <w:rPr>
          <w:rFonts w:ascii="Arial" w:hAnsi="Arial" w:cs="Arial"/>
          <w:b/>
          <w:bCs/>
          <w:sz w:val="21"/>
          <w:szCs w:val="21"/>
        </w:rPr>
        <w:tab/>
        <w:t xml:space="preserve">Rafael </w:t>
      </w:r>
      <w:proofErr w:type="spellStart"/>
      <w:r w:rsidRPr="007B5CCA">
        <w:rPr>
          <w:rFonts w:ascii="Arial" w:hAnsi="Arial" w:cs="Arial"/>
          <w:b/>
          <w:bCs/>
          <w:sz w:val="21"/>
          <w:szCs w:val="21"/>
        </w:rPr>
        <w:t>Demuner</w:t>
      </w:r>
      <w:proofErr w:type="spellEnd"/>
      <w:r w:rsidRPr="007B5CCA">
        <w:rPr>
          <w:rFonts w:ascii="Arial" w:hAnsi="Arial" w:cs="Arial"/>
          <w:b/>
          <w:bCs/>
          <w:sz w:val="21"/>
          <w:szCs w:val="21"/>
        </w:rPr>
        <w:t xml:space="preserve"> (UP)</w:t>
      </w:r>
    </w:p>
    <w:p w14:paraId="5D0CF222" w14:textId="77777777" w:rsid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7516B882" w14:textId="77777777" w:rsidR="007B5CCA" w:rsidRP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2F85636F" w14:textId="2CF56413" w:rsidR="007B5CCA" w:rsidRPr="007B5CCA" w:rsidRDefault="007B5CCA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7B5CCA">
        <w:rPr>
          <w:rFonts w:ascii="Arial" w:hAnsi="Arial" w:cs="Arial"/>
          <w:b/>
          <w:bCs/>
          <w:sz w:val="21"/>
          <w:szCs w:val="21"/>
        </w:rPr>
        <w:t>Ricardo Ferraço (MDB)</w:t>
      </w:r>
    </w:p>
    <w:p w14:paraId="2BA7F222" w14:textId="77777777" w:rsidR="007B5CCA" w:rsidRPr="00F800A8" w:rsidRDefault="007B5CCA" w:rsidP="007B5CCA">
      <w:pPr>
        <w:jc w:val="both"/>
        <w:rPr>
          <w:rFonts w:ascii="Arial" w:hAnsi="Arial" w:cs="Arial"/>
          <w:sz w:val="21"/>
          <w:szCs w:val="21"/>
        </w:rPr>
      </w:pPr>
    </w:p>
    <w:p w14:paraId="607F9967" w14:textId="44D5CBAD" w:rsidR="00F800A8" w:rsidRPr="00F800A8" w:rsidRDefault="00F800A8" w:rsidP="007B5CCA">
      <w:pPr>
        <w:jc w:val="both"/>
        <w:rPr>
          <w:rFonts w:ascii="Arial" w:hAnsi="Arial" w:cs="Arial"/>
          <w:sz w:val="21"/>
          <w:szCs w:val="21"/>
        </w:rPr>
      </w:pPr>
    </w:p>
    <w:p w14:paraId="3C75B710" w14:textId="77777777" w:rsidR="000B2BFF" w:rsidRDefault="000B2BFF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1BB1346E" w14:textId="77777777" w:rsidR="000B2BFF" w:rsidRDefault="000B2BFF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5EA9EC77" w14:textId="0AFCB4D0" w:rsidR="00B36AC7" w:rsidRPr="000B2BFF" w:rsidRDefault="000B2BFF" w:rsidP="007B5CCA">
      <w:p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E c</w:t>
      </w:r>
      <w:r w:rsidR="00F800A8" w:rsidRPr="00F800A8">
        <w:rPr>
          <w:rFonts w:ascii="Arial" w:hAnsi="Arial" w:cs="Arial"/>
          <w:b/>
          <w:bCs/>
          <w:sz w:val="21"/>
          <w:szCs w:val="21"/>
        </w:rPr>
        <w:t>andidatos e candidatas ao Legislativo Federal e Estadual</w:t>
      </w:r>
    </w:p>
    <w:sectPr w:rsidR="00B36AC7" w:rsidRPr="000B2BFF" w:rsidSect="000B2BFF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8397E" w14:textId="77777777" w:rsidR="00261733" w:rsidRDefault="00261733" w:rsidP="007B5CCA">
      <w:pPr>
        <w:spacing w:after="0" w:line="240" w:lineRule="auto"/>
      </w:pPr>
      <w:r>
        <w:separator/>
      </w:r>
    </w:p>
  </w:endnote>
  <w:endnote w:type="continuationSeparator" w:id="0">
    <w:p w14:paraId="6441130D" w14:textId="77777777" w:rsidR="00261733" w:rsidRDefault="00261733" w:rsidP="007B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CC8C" w14:textId="77777777" w:rsidR="00261733" w:rsidRDefault="00261733" w:rsidP="007B5CCA">
      <w:pPr>
        <w:spacing w:after="0" w:line="240" w:lineRule="auto"/>
      </w:pPr>
      <w:r>
        <w:separator/>
      </w:r>
    </w:p>
  </w:footnote>
  <w:footnote w:type="continuationSeparator" w:id="0">
    <w:p w14:paraId="47F4B051" w14:textId="77777777" w:rsidR="00261733" w:rsidRDefault="00261733" w:rsidP="007B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8278C" w14:textId="703CF4F3" w:rsidR="000B2BFF" w:rsidRPr="00F800A8" w:rsidRDefault="000B2BFF" w:rsidP="007B5CCA">
    <w:pPr>
      <w:jc w:val="center"/>
      <w:rPr>
        <w:rFonts w:ascii="Arial" w:hAnsi="Arial" w:cs="Arial"/>
        <w:b/>
        <w:bCs/>
        <w:sz w:val="21"/>
        <w:szCs w:val="21"/>
      </w:rPr>
    </w:pPr>
  </w:p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49"/>
      <w:gridCol w:w="6155"/>
    </w:tblGrid>
    <w:tr w:rsidR="000B2BFF" w14:paraId="57B095B8" w14:textId="77777777" w:rsidTr="000B2BFF">
      <w:trPr>
        <w:jc w:val="center"/>
      </w:trPr>
      <w:tc>
        <w:tcPr>
          <w:tcW w:w="2122" w:type="dxa"/>
        </w:tcPr>
        <w:p w14:paraId="5DB34573" w14:textId="1BB3C2A0" w:rsidR="000B2BFF" w:rsidRDefault="000B2BFF" w:rsidP="007B5CCA">
          <w:pPr>
            <w:jc w:val="center"/>
            <w:rPr>
              <w:rFonts w:ascii="Arial" w:hAnsi="Arial" w:cs="Arial"/>
              <w:b/>
              <w:bCs/>
              <w:sz w:val="21"/>
              <w:szCs w:val="21"/>
            </w:rPr>
          </w:pPr>
          <w:r w:rsidRPr="00DF4A31">
            <w:rPr>
              <w:noProof/>
            </w:rPr>
            <w:drawing>
              <wp:inline distT="0" distB="0" distL="0" distR="0" wp14:anchorId="5A3E3250" wp14:editId="1F1D1E20">
                <wp:extent cx="1354455" cy="1278255"/>
                <wp:effectExtent l="0" t="0" r="0" b="0"/>
                <wp:docPr id="21726213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4455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2" w:type="dxa"/>
          <w:vAlign w:val="center"/>
        </w:tcPr>
        <w:p w14:paraId="417C46B0" w14:textId="2F3A11AE" w:rsidR="000B2BFF" w:rsidRDefault="000B2BFF" w:rsidP="000B2BFF">
          <w:pPr>
            <w:jc w:val="center"/>
            <w:rPr>
              <w:rFonts w:ascii="Arial" w:hAnsi="Arial" w:cs="Arial"/>
              <w:b/>
              <w:bCs/>
              <w:sz w:val="21"/>
              <w:szCs w:val="21"/>
            </w:rPr>
          </w:pPr>
          <w:r w:rsidRPr="00F800A8">
            <w:rPr>
              <w:rFonts w:ascii="Arial" w:hAnsi="Arial" w:cs="Arial"/>
              <w:b/>
              <w:bCs/>
              <w:sz w:val="21"/>
              <w:szCs w:val="21"/>
            </w:rPr>
            <w:t>CARTA DE COMPROMISSOS COM O SANEAMENTO PÚBLICO, O MEIO AMBIENTE, A JUSTIÇA CLIMÁTICA E A REPARAÇÃO DO RIO DOCE</w:t>
          </w:r>
        </w:p>
      </w:tc>
    </w:tr>
  </w:tbl>
  <w:p w14:paraId="59FEB919" w14:textId="77777777" w:rsidR="007B5CCA" w:rsidRDefault="007B5C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F7"/>
    <w:rsid w:val="000B2BFF"/>
    <w:rsid w:val="0022053A"/>
    <w:rsid w:val="00261733"/>
    <w:rsid w:val="003A5ACA"/>
    <w:rsid w:val="003F39F7"/>
    <w:rsid w:val="00435163"/>
    <w:rsid w:val="00610BC2"/>
    <w:rsid w:val="007B5CCA"/>
    <w:rsid w:val="00A47CB0"/>
    <w:rsid w:val="00B36AC7"/>
    <w:rsid w:val="00C36D4E"/>
    <w:rsid w:val="00EB6053"/>
    <w:rsid w:val="00F8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278E6"/>
  <w15:chartTrackingRefBased/>
  <w15:docId w15:val="{F0AD7B68-C017-4DB0-99D7-A570E8B9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9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9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9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9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9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9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9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9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9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9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9F7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A47CB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7B5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5CCA"/>
  </w:style>
  <w:style w:type="paragraph" w:styleId="Rodap">
    <w:name w:val="footer"/>
    <w:basedOn w:val="Normal"/>
    <w:link w:val="RodapChar"/>
    <w:uiPriority w:val="99"/>
    <w:unhideWhenUsed/>
    <w:rsid w:val="007B5C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5CCA"/>
  </w:style>
  <w:style w:type="table" w:styleId="Tabelacomgrade">
    <w:name w:val="Table Grid"/>
    <w:basedOn w:val="Tabelanormal"/>
    <w:uiPriority w:val="39"/>
    <w:rsid w:val="000B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BCF45-5521-41AA-8314-94013C9A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1289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Giori</dc:creator>
  <cp:keywords/>
  <dc:description/>
  <cp:lastModifiedBy>Nery Neto</cp:lastModifiedBy>
  <cp:revision>4</cp:revision>
  <dcterms:created xsi:type="dcterms:W3CDTF">2026-08-06T17:24:00Z</dcterms:created>
  <dcterms:modified xsi:type="dcterms:W3CDTF">2026-08-19T14:37:00Z</dcterms:modified>
</cp:coreProperties>
</file>